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92F13" w14:textId="25763491" w:rsidR="004F38B3" w:rsidRPr="00381153" w:rsidRDefault="008F2A44" w:rsidP="00381153">
      <w:pPr>
        <w:autoSpaceDE w:val="0"/>
        <w:autoSpaceDN w:val="0"/>
        <w:adjustRightInd w:val="0"/>
        <w:jc w:val="left"/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</w:pPr>
      <w:r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A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 xml:space="preserve"> simple, compact double-pass pumped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proofErr w:type="gramStart"/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Nd:YVO</w:t>
      </w:r>
      <w:proofErr w:type="gramEnd"/>
      <w:r w:rsidR="00381153" w:rsidRPr="00381153">
        <w:rPr>
          <w:rFonts w:ascii="CMR7" w:hAnsi="CMR7" w:cs="CMR7"/>
          <w:color w:val="000000" w:themeColor="text1"/>
          <w:kern w:val="0"/>
          <w:sz w:val="14"/>
          <w:szCs w:val="14"/>
        </w:rPr>
        <w:t xml:space="preserve">4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thin disk laser was demonstrated. The scheme of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 xml:space="preserve">in-band pumping, undoped end face bonds, and </w:t>
      </w:r>
      <w:proofErr w:type="spellStart"/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SiC</w:t>
      </w:r>
      <w:proofErr w:type="spellEnd"/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 xml:space="preserve"> material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 xml:space="preserve">heat sink were combined to alleviate the thermal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eff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ect.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The influence of Nd doping concentration and thickness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on the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continuous-wave performance were experimentally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investigated by using two crystals of approximately the same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 xml:space="preserve">absorption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effi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ciency but di</w:t>
      </w:r>
      <w:r w:rsidR="00381153" w:rsidRPr="00381153">
        <w:rPr>
          <w:rFonts w:ascii="rtxr" w:hAnsi="rtxr" w:cs="rtxr"/>
          <w:color w:val="000000" w:themeColor="text1"/>
          <w:kern w:val="0"/>
          <w:sz w:val="20"/>
          <w:szCs w:val="20"/>
        </w:rPr>
        <w:t>ff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erent doping concentrations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 xml:space="preserve">of 1 </w:t>
      </w:r>
      <w:proofErr w:type="gramStart"/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at.</w:t>
      </w:r>
      <w:r w:rsidR="00381153" w:rsidRPr="00381153">
        <w:rPr>
          <w:rFonts w:ascii="CMR10" w:hAnsi="CMR10" w:cs="CMR10"/>
          <w:color w:val="000000" w:themeColor="text1"/>
          <w:kern w:val="0"/>
          <w:sz w:val="20"/>
          <w:szCs w:val="20"/>
        </w:rPr>
        <w:t>%</w:t>
      </w:r>
      <w:proofErr w:type="gramEnd"/>
      <w:r w:rsidR="00381153" w:rsidRPr="00381153">
        <w:rPr>
          <w:rFonts w:ascii="CMR10" w:hAnsi="CMR10" w:cs="CMR10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and 0.5 at.</w:t>
      </w:r>
      <w:r w:rsidR="00381153" w:rsidRPr="00381153">
        <w:rPr>
          <w:rFonts w:ascii="CMR10" w:hAnsi="CMR10" w:cs="CMR10"/>
          <w:color w:val="000000" w:themeColor="text1"/>
          <w:kern w:val="0"/>
          <w:sz w:val="20"/>
          <w:szCs w:val="20"/>
        </w:rPr>
        <w:t>%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. At the same time, a numerical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analysis of the temperature distribution and thermal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lens e</w:t>
      </w:r>
      <w:r w:rsidR="00381153" w:rsidRPr="00381153">
        <w:rPr>
          <w:rFonts w:ascii="rtxr" w:hAnsi="rtxr" w:cs="rtxr"/>
          <w:color w:val="000000" w:themeColor="text1"/>
          <w:kern w:val="0"/>
          <w:sz w:val="20"/>
          <w:szCs w:val="20"/>
        </w:rPr>
        <w:t>ff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ect in the laser considering the influence of energy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 xml:space="preserve">transfer </w:t>
      </w:r>
      <w:proofErr w:type="spellStart"/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upconversion</w:t>
      </w:r>
      <w:proofErr w:type="spellEnd"/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 xml:space="preserve"> e</w:t>
      </w:r>
      <w:r w:rsidR="00381153" w:rsidRPr="00381153">
        <w:rPr>
          <w:rFonts w:ascii="rtxr" w:hAnsi="rtxr" w:cs="rtxr"/>
          <w:color w:val="000000" w:themeColor="text1"/>
          <w:kern w:val="0"/>
          <w:sz w:val="20"/>
          <w:szCs w:val="20"/>
        </w:rPr>
        <w:t>ff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ect was present and compared to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the experimental results. The e</w:t>
      </w:r>
      <w:r w:rsidR="00381153" w:rsidRPr="00381153">
        <w:rPr>
          <w:rFonts w:ascii="rtxr" w:hAnsi="rtxr" w:cs="rtxr"/>
          <w:color w:val="000000" w:themeColor="text1"/>
          <w:kern w:val="0"/>
          <w:sz w:val="20"/>
          <w:szCs w:val="20"/>
        </w:rPr>
        <w:t>ff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ect of the temperature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dependence of the thermal conductivity tensor was also taken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into account. The numerical simulations were based on the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finite-element analysis methods and carried out using the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COMSOL software, which matched well with experimental</w:t>
      </w:r>
      <w:r w:rsidR="00381153" w:rsidRPr="00381153">
        <w:rPr>
          <w:rFonts w:ascii="NimbusRomNo9L-Regu" w:hAnsi="NimbusRomNo9L-Regu" w:cs="NimbusRomNo9L-Regu" w:hint="eastAsia"/>
          <w:color w:val="000000" w:themeColor="text1"/>
          <w:kern w:val="0"/>
          <w:sz w:val="20"/>
          <w:szCs w:val="20"/>
        </w:rPr>
        <w:t xml:space="preserve"> </w:t>
      </w:r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results</w:t>
      </w:r>
      <w:bookmarkStart w:id="0" w:name="_Hlk33888569"/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>.</w:t>
      </w:r>
      <w:bookmarkEnd w:id="0"/>
      <w:r w:rsidR="00381153" w:rsidRPr="00381153">
        <w:rPr>
          <w:rFonts w:ascii="NimbusRomNo9L-Regu" w:hAnsi="NimbusRomNo9L-Regu" w:cs="NimbusRomNo9L-Regu"/>
          <w:color w:val="000000" w:themeColor="text1"/>
          <w:kern w:val="0"/>
          <w:sz w:val="20"/>
          <w:szCs w:val="20"/>
        </w:rPr>
        <w:t xml:space="preserve"> </w:t>
      </w:r>
      <w:bookmarkStart w:id="1" w:name="_GoBack"/>
      <w:bookmarkEnd w:id="1"/>
    </w:p>
    <w:sectPr w:rsidR="004F38B3" w:rsidRPr="003811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7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tx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72"/>
    <w:rsid w:val="000F4672"/>
    <w:rsid w:val="00381153"/>
    <w:rsid w:val="004F38B3"/>
    <w:rsid w:val="008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AA12A"/>
  <w15:chartTrackingRefBased/>
  <w15:docId w15:val="{778B5208-DEB6-4A57-AB9E-4C1B6918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巍</dc:creator>
  <cp:keywords/>
  <dc:description/>
  <cp:lastModifiedBy>王 巍</cp:lastModifiedBy>
  <cp:revision>3</cp:revision>
  <dcterms:created xsi:type="dcterms:W3CDTF">2020-02-29T09:04:00Z</dcterms:created>
  <dcterms:modified xsi:type="dcterms:W3CDTF">2020-02-29T09:20:00Z</dcterms:modified>
</cp:coreProperties>
</file>